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3058"/>
        <w:gridCol w:w="7567"/>
      </w:tblGrid>
      <w:tr w:rsidR="007A0015" w:rsidTr="00127876">
        <w:trPr>
          <w:trHeight w:val="273"/>
        </w:trPr>
        <w:tc>
          <w:tcPr>
            <w:tcW w:w="3058" w:type="dxa"/>
          </w:tcPr>
          <w:p w:rsidR="007A0015" w:rsidRPr="004B2BFB" w:rsidRDefault="007A0015" w:rsidP="007A0015">
            <w:pPr>
              <w:jc w:val="center"/>
              <w:rPr>
                <w:b/>
                <w:color w:val="000000" w:themeColor="text1"/>
                <w:sz w:val="24"/>
                <w:szCs w:val="24"/>
              </w:rPr>
            </w:pPr>
            <w:r w:rsidRPr="004B2BFB">
              <w:rPr>
                <w:b/>
                <w:color w:val="000000" w:themeColor="text1"/>
                <w:sz w:val="24"/>
                <w:szCs w:val="24"/>
              </w:rPr>
              <w:t>Thinking Strategy</w:t>
            </w:r>
          </w:p>
        </w:tc>
        <w:tc>
          <w:tcPr>
            <w:tcW w:w="7567" w:type="dxa"/>
          </w:tcPr>
          <w:p w:rsidR="007A0015" w:rsidRPr="004B2BFB" w:rsidRDefault="007A0015" w:rsidP="007A0015">
            <w:pPr>
              <w:jc w:val="center"/>
              <w:rPr>
                <w:b/>
                <w:color w:val="000000" w:themeColor="text1"/>
                <w:sz w:val="24"/>
                <w:szCs w:val="24"/>
              </w:rPr>
            </w:pPr>
            <w:r w:rsidRPr="004B2BFB">
              <w:rPr>
                <w:b/>
                <w:color w:val="000000" w:themeColor="text1"/>
                <w:sz w:val="24"/>
                <w:szCs w:val="24"/>
              </w:rPr>
              <w:t>Explanation</w:t>
            </w:r>
          </w:p>
        </w:tc>
      </w:tr>
      <w:tr w:rsidR="007A0015" w:rsidTr="00127876">
        <w:trPr>
          <w:trHeight w:val="2704"/>
        </w:trPr>
        <w:tc>
          <w:tcPr>
            <w:tcW w:w="3058" w:type="dxa"/>
          </w:tcPr>
          <w:p w:rsidR="007A0015" w:rsidRPr="0062343A" w:rsidRDefault="007A0015" w:rsidP="0062343A">
            <w:pPr>
              <w:jc w:val="center"/>
              <w:rPr>
                <w:b/>
              </w:rPr>
            </w:pPr>
            <w:r w:rsidRPr="0062343A">
              <w:rPr>
                <w:b/>
                <w:color w:val="FF0000"/>
              </w:rPr>
              <w:t>Thinking Lotto</w:t>
            </w:r>
          </w:p>
        </w:tc>
        <w:tc>
          <w:tcPr>
            <w:tcW w:w="7567" w:type="dxa"/>
          </w:tcPr>
          <w:p w:rsidR="00127876" w:rsidRPr="007A0015" w:rsidRDefault="007A0015" w:rsidP="007448EB">
            <w:r w:rsidRPr="0062343A">
              <w:rPr>
                <w:rFonts w:cs="Arial"/>
                <w:color w:val="202020"/>
                <w:sz w:val="20"/>
                <w:szCs w:val="20"/>
                <w:shd w:val="clear" w:color="auto" w:fill="FFFFFF"/>
              </w:rPr>
              <w:t>Thinking lotto or bingo is a powerful activity that can be used as a plenary or starter for topics that have previously been taught or to get students thinking about topics that have not yet been fully delivered. It adds pace and variety to a lesson and can help promote discussion. It is excellent for diagnostic assessment as the teacher can check on students understanding of the topic as they are completing their grid. After each answer is revealed, the teacher can explore the answer in more detail via questioning the students.</w:t>
            </w:r>
            <w:r w:rsidRPr="0062343A">
              <w:rPr>
                <w:rStyle w:val="apple-converted-space"/>
                <w:rFonts w:cs="Arial"/>
                <w:color w:val="202020"/>
                <w:sz w:val="20"/>
                <w:szCs w:val="20"/>
                <w:shd w:val="clear" w:color="auto" w:fill="FFFFFF"/>
              </w:rPr>
              <w:t> </w:t>
            </w:r>
            <w:r w:rsidRPr="0062343A">
              <w:rPr>
                <w:rFonts w:cs="Arial"/>
                <w:color w:val="202020"/>
                <w:sz w:val="20"/>
                <w:szCs w:val="20"/>
                <w:shd w:val="clear" w:color="auto" w:fill="FFFFFF"/>
              </w:rPr>
              <w:t xml:space="preserve">An excellent strategy is to say to students that the first 3 balls out will be the 3 most important points/ areas of that topic. </w:t>
            </w:r>
            <w:proofErr w:type="gramStart"/>
            <w:r w:rsidR="007448EB" w:rsidRPr="0062343A">
              <w:rPr>
                <w:rFonts w:cs="Arial"/>
                <w:color w:val="202020"/>
                <w:sz w:val="20"/>
                <w:szCs w:val="20"/>
                <w:shd w:val="clear" w:color="auto" w:fill="FFFFFF"/>
              </w:rPr>
              <w:t>This forces student</w:t>
            </w:r>
            <w:r w:rsidR="007448EB">
              <w:rPr>
                <w:rFonts w:cs="Arial"/>
                <w:color w:val="202020"/>
                <w:sz w:val="20"/>
                <w:szCs w:val="20"/>
                <w:shd w:val="clear" w:color="auto" w:fill="FFFFFF"/>
              </w:rPr>
              <w:t>s</w:t>
            </w:r>
            <w:proofErr w:type="gramEnd"/>
            <w:r w:rsidRPr="0062343A">
              <w:rPr>
                <w:rFonts w:cs="Arial"/>
                <w:color w:val="202020"/>
                <w:sz w:val="20"/>
                <w:szCs w:val="20"/>
                <w:shd w:val="clear" w:color="auto" w:fill="FFFFFF"/>
              </w:rPr>
              <w:t xml:space="preserve"> to think of</w:t>
            </w:r>
            <w:r w:rsidR="007448EB">
              <w:rPr>
                <w:rFonts w:cs="Arial"/>
                <w:color w:val="202020"/>
                <w:sz w:val="20"/>
                <w:szCs w:val="20"/>
                <w:shd w:val="clear" w:color="auto" w:fill="FFFFFF"/>
              </w:rPr>
              <w:t xml:space="preserve"> those </w:t>
            </w:r>
            <w:r w:rsidR="007448EB" w:rsidRPr="0062343A">
              <w:rPr>
                <w:rFonts w:cs="Arial"/>
                <w:color w:val="202020"/>
                <w:sz w:val="20"/>
                <w:szCs w:val="20"/>
                <w:shd w:val="clear" w:color="auto" w:fill="FFFFFF"/>
              </w:rPr>
              <w:t>which</w:t>
            </w:r>
            <w:r w:rsidRPr="0062343A">
              <w:rPr>
                <w:rFonts w:cs="Arial"/>
                <w:color w:val="202020"/>
                <w:sz w:val="20"/>
                <w:szCs w:val="20"/>
                <w:shd w:val="clear" w:color="auto" w:fill="FFFFFF"/>
              </w:rPr>
              <w:t xml:space="preserve"> they believe are the most important points and put these together in a line.</w:t>
            </w:r>
            <w:r w:rsidR="0062343A" w:rsidRPr="0062343A">
              <w:rPr>
                <w:rFonts w:cs="Arial"/>
                <w:color w:val="202020"/>
                <w:sz w:val="20"/>
                <w:szCs w:val="20"/>
                <w:shd w:val="clear" w:color="auto" w:fill="FFFFFF"/>
              </w:rPr>
              <w:t xml:space="preserve"> </w:t>
            </w:r>
          </w:p>
        </w:tc>
      </w:tr>
      <w:tr w:rsidR="007A0015" w:rsidTr="00127876">
        <w:trPr>
          <w:trHeight w:val="486"/>
        </w:trPr>
        <w:tc>
          <w:tcPr>
            <w:tcW w:w="3058" w:type="dxa"/>
          </w:tcPr>
          <w:p w:rsidR="007A0015" w:rsidRPr="0062343A" w:rsidRDefault="007A0015" w:rsidP="0062343A">
            <w:pPr>
              <w:jc w:val="center"/>
              <w:rPr>
                <w:b/>
                <w:color w:val="FF0000"/>
              </w:rPr>
            </w:pPr>
            <w:r w:rsidRPr="0062343A">
              <w:rPr>
                <w:b/>
                <w:color w:val="FF0000"/>
              </w:rPr>
              <w:t>Odd one out</w:t>
            </w:r>
          </w:p>
        </w:tc>
        <w:tc>
          <w:tcPr>
            <w:tcW w:w="7567" w:type="dxa"/>
          </w:tcPr>
          <w:p w:rsidR="00127876" w:rsidRPr="00127876" w:rsidRDefault="0062343A">
            <w:pPr>
              <w:rPr>
                <w:rFonts w:eastAsia="Times New Roman" w:cs="Times New Roman"/>
                <w:sz w:val="20"/>
                <w:szCs w:val="20"/>
              </w:rPr>
            </w:pPr>
            <w:r w:rsidRPr="0062343A">
              <w:rPr>
                <w:rFonts w:eastAsia="Times New Roman" w:cs="Times New Roman"/>
                <w:sz w:val="20"/>
                <w:szCs w:val="20"/>
              </w:rPr>
              <w:t>‘O</w:t>
            </w:r>
            <w:r w:rsidRPr="00127876">
              <w:rPr>
                <w:rFonts w:eastAsia="Times New Roman" w:cs="Times New Roman"/>
                <w:sz w:val="20"/>
                <w:szCs w:val="20"/>
              </w:rPr>
              <w:t>dd One Out’ exercises get students</w:t>
            </w:r>
            <w:r w:rsidRPr="0062343A">
              <w:rPr>
                <w:rFonts w:eastAsia="Times New Roman" w:cs="Times New Roman"/>
                <w:sz w:val="20"/>
                <w:szCs w:val="20"/>
              </w:rPr>
              <w:t xml:space="preserve"> thinking about similarities and differences which is important for establishing </w:t>
            </w:r>
            <w:r w:rsidRPr="00127876">
              <w:rPr>
                <w:rFonts w:eastAsia="Times New Roman" w:cs="Times New Roman"/>
                <w:sz w:val="20"/>
                <w:szCs w:val="20"/>
              </w:rPr>
              <w:t>an understanding of concepts.</w:t>
            </w:r>
          </w:p>
        </w:tc>
      </w:tr>
      <w:tr w:rsidR="007A0015" w:rsidTr="004B2BFB">
        <w:trPr>
          <w:trHeight w:val="1511"/>
        </w:trPr>
        <w:tc>
          <w:tcPr>
            <w:tcW w:w="3058" w:type="dxa"/>
          </w:tcPr>
          <w:p w:rsidR="007A0015" w:rsidRPr="0062343A" w:rsidRDefault="007A0015" w:rsidP="0062343A">
            <w:pPr>
              <w:jc w:val="center"/>
              <w:rPr>
                <w:b/>
                <w:color w:val="FF0000"/>
              </w:rPr>
            </w:pPr>
            <w:r w:rsidRPr="0062343A">
              <w:rPr>
                <w:b/>
                <w:color w:val="FF0000"/>
              </w:rPr>
              <w:t>K-W-L</w:t>
            </w:r>
          </w:p>
        </w:tc>
        <w:tc>
          <w:tcPr>
            <w:tcW w:w="7567" w:type="dxa"/>
          </w:tcPr>
          <w:p w:rsidR="007A0015" w:rsidRPr="00127876" w:rsidRDefault="0062343A">
            <w:pPr>
              <w:rPr>
                <w:sz w:val="20"/>
                <w:szCs w:val="20"/>
              </w:rPr>
            </w:pPr>
            <w:r w:rsidRPr="00127876">
              <w:rPr>
                <w:sz w:val="20"/>
                <w:szCs w:val="20"/>
                <w:shd w:val="clear" w:color="auto" w:fill="FFFFFF"/>
              </w:rPr>
              <w:t>Students begin by brainstorming everything they</w:t>
            </w:r>
            <w:r w:rsidRPr="00127876">
              <w:rPr>
                <w:rStyle w:val="apple-converted-space"/>
                <w:sz w:val="20"/>
                <w:szCs w:val="20"/>
                <w:shd w:val="clear" w:color="auto" w:fill="FFFFFF"/>
              </w:rPr>
              <w:t> </w:t>
            </w:r>
            <w:r w:rsidRPr="00127876">
              <w:rPr>
                <w:rStyle w:val="Strong"/>
                <w:sz w:val="20"/>
                <w:szCs w:val="20"/>
                <w:shd w:val="clear" w:color="auto" w:fill="FFFFFF"/>
              </w:rPr>
              <w:t>Know</w:t>
            </w:r>
            <w:r w:rsidRPr="00127876">
              <w:rPr>
                <w:rStyle w:val="apple-converted-space"/>
                <w:sz w:val="20"/>
                <w:szCs w:val="20"/>
                <w:shd w:val="clear" w:color="auto" w:fill="FFFFFF"/>
              </w:rPr>
              <w:t> </w:t>
            </w:r>
            <w:r w:rsidRPr="00127876">
              <w:rPr>
                <w:sz w:val="20"/>
                <w:szCs w:val="20"/>
                <w:shd w:val="clear" w:color="auto" w:fill="FFFFFF"/>
              </w:rPr>
              <w:t>about a topic. This information is recorded in the K column of a K-W-L chart. Students then generate a list of questions about what they</w:t>
            </w:r>
            <w:r w:rsidRPr="00127876">
              <w:rPr>
                <w:rStyle w:val="apple-converted-space"/>
                <w:sz w:val="20"/>
                <w:szCs w:val="20"/>
                <w:shd w:val="clear" w:color="auto" w:fill="FFFFFF"/>
              </w:rPr>
              <w:t> </w:t>
            </w:r>
            <w:r w:rsidRPr="00127876">
              <w:rPr>
                <w:rStyle w:val="Strong"/>
                <w:sz w:val="20"/>
                <w:szCs w:val="20"/>
                <w:shd w:val="clear" w:color="auto" w:fill="FFFFFF"/>
              </w:rPr>
              <w:t>Want to Know</w:t>
            </w:r>
            <w:r w:rsidRPr="00127876">
              <w:rPr>
                <w:rStyle w:val="apple-converted-space"/>
                <w:sz w:val="20"/>
                <w:szCs w:val="20"/>
                <w:shd w:val="clear" w:color="auto" w:fill="FFFFFF"/>
              </w:rPr>
              <w:t> </w:t>
            </w:r>
            <w:r w:rsidRPr="00127876">
              <w:rPr>
                <w:sz w:val="20"/>
                <w:szCs w:val="20"/>
                <w:shd w:val="clear" w:color="auto" w:fill="FFFFFF"/>
              </w:rPr>
              <w:t>about the topic. These questions are listed in the W column of the chart. During or after the lesson, students answer the questions that are in the W column. This new information that they have</w:t>
            </w:r>
            <w:r w:rsidRPr="00127876">
              <w:rPr>
                <w:rStyle w:val="apple-converted-space"/>
                <w:sz w:val="20"/>
                <w:szCs w:val="20"/>
                <w:shd w:val="clear" w:color="auto" w:fill="FFFFFF"/>
              </w:rPr>
              <w:t> </w:t>
            </w:r>
            <w:r w:rsidRPr="00127876">
              <w:rPr>
                <w:rStyle w:val="Strong"/>
                <w:sz w:val="20"/>
                <w:szCs w:val="20"/>
                <w:shd w:val="clear" w:color="auto" w:fill="FFFFFF"/>
              </w:rPr>
              <w:t>Learned</w:t>
            </w:r>
            <w:r w:rsidRPr="00127876">
              <w:rPr>
                <w:rStyle w:val="apple-converted-space"/>
                <w:sz w:val="20"/>
                <w:szCs w:val="20"/>
                <w:shd w:val="clear" w:color="auto" w:fill="FFFFFF"/>
              </w:rPr>
              <w:t> </w:t>
            </w:r>
            <w:r w:rsidRPr="00127876">
              <w:rPr>
                <w:sz w:val="20"/>
                <w:szCs w:val="20"/>
                <w:shd w:val="clear" w:color="auto" w:fill="FFFFFF"/>
              </w:rPr>
              <w:t>is recorded in the L column of the K-W-L chart. </w:t>
            </w:r>
            <w:r w:rsidRPr="00127876">
              <w:rPr>
                <w:rStyle w:val="apple-converted-space"/>
                <w:sz w:val="20"/>
                <w:szCs w:val="20"/>
                <w:shd w:val="clear" w:color="auto" w:fill="FFFFFF"/>
              </w:rPr>
              <w:t> </w:t>
            </w:r>
          </w:p>
        </w:tc>
      </w:tr>
      <w:tr w:rsidR="007A0015" w:rsidTr="00127876">
        <w:trPr>
          <w:trHeight w:val="744"/>
        </w:trPr>
        <w:tc>
          <w:tcPr>
            <w:tcW w:w="3058" w:type="dxa"/>
          </w:tcPr>
          <w:p w:rsidR="007A0015" w:rsidRPr="0062343A" w:rsidRDefault="007A0015" w:rsidP="0062343A">
            <w:pPr>
              <w:jc w:val="center"/>
              <w:rPr>
                <w:b/>
                <w:color w:val="FF0000"/>
              </w:rPr>
            </w:pPr>
            <w:r w:rsidRPr="0062343A">
              <w:rPr>
                <w:b/>
                <w:color w:val="FF0000"/>
              </w:rPr>
              <w:t>A question of sport</w:t>
            </w:r>
          </w:p>
        </w:tc>
        <w:tc>
          <w:tcPr>
            <w:tcW w:w="7567" w:type="dxa"/>
          </w:tcPr>
          <w:p w:rsidR="007A0015" w:rsidRPr="00127876" w:rsidRDefault="0062343A">
            <w:pPr>
              <w:rPr>
                <w:sz w:val="20"/>
                <w:szCs w:val="20"/>
              </w:rPr>
            </w:pPr>
            <w:r w:rsidRPr="00127876">
              <w:rPr>
                <w:sz w:val="20"/>
                <w:szCs w:val="20"/>
              </w:rPr>
              <w:t>Based on the quiz show ‘A question of sport’. Show students a picture or vide</w:t>
            </w:r>
            <w:r w:rsidR="00127876" w:rsidRPr="00127876">
              <w:rPr>
                <w:sz w:val="20"/>
                <w:szCs w:val="20"/>
              </w:rPr>
              <w:t>o clip and ask them What happened next (or before)? Students have to use inference skills. Good for collaborative thinking.</w:t>
            </w:r>
          </w:p>
        </w:tc>
      </w:tr>
      <w:tr w:rsidR="007A0015" w:rsidTr="004B2BFB">
        <w:trPr>
          <w:trHeight w:val="792"/>
        </w:trPr>
        <w:tc>
          <w:tcPr>
            <w:tcW w:w="3058" w:type="dxa"/>
          </w:tcPr>
          <w:p w:rsidR="007A0015" w:rsidRPr="0062343A" w:rsidRDefault="007A0015" w:rsidP="0062343A">
            <w:pPr>
              <w:jc w:val="center"/>
              <w:rPr>
                <w:b/>
                <w:color w:val="FF0000"/>
              </w:rPr>
            </w:pPr>
            <w:r w:rsidRPr="0062343A">
              <w:rPr>
                <w:b/>
                <w:color w:val="FF0000"/>
              </w:rPr>
              <w:t>Think-pair-share</w:t>
            </w:r>
          </w:p>
        </w:tc>
        <w:tc>
          <w:tcPr>
            <w:tcW w:w="7567" w:type="dxa"/>
          </w:tcPr>
          <w:p w:rsidR="007A0015" w:rsidRPr="00127876" w:rsidRDefault="00127876">
            <w:pPr>
              <w:rPr>
                <w:sz w:val="20"/>
                <w:szCs w:val="20"/>
              </w:rPr>
            </w:pPr>
            <w:r w:rsidRPr="00127876">
              <w:rPr>
                <w:sz w:val="20"/>
                <w:szCs w:val="20"/>
              </w:rPr>
              <w:t xml:space="preserve">Collaborative learning technique which gives students ‘’thinking time”. </w:t>
            </w:r>
            <w:r w:rsidRPr="00127876">
              <w:rPr>
                <w:rFonts w:cs="Arial"/>
                <w:color w:val="000000"/>
                <w:sz w:val="20"/>
                <w:szCs w:val="20"/>
                <w:shd w:val="clear" w:color="auto" w:fill="FFFFFF"/>
              </w:rPr>
              <w:t>Students have the opportunity to learn from their peers, gain the extra time or prompting they may need, and gain confidence when reporting ideas to the whole class.</w:t>
            </w:r>
          </w:p>
        </w:tc>
      </w:tr>
      <w:tr w:rsidR="007A0015" w:rsidTr="00127876">
        <w:trPr>
          <w:trHeight w:val="273"/>
        </w:trPr>
        <w:tc>
          <w:tcPr>
            <w:tcW w:w="3058" w:type="dxa"/>
          </w:tcPr>
          <w:p w:rsidR="007A0015" w:rsidRPr="0062343A" w:rsidRDefault="007A0015" w:rsidP="0062343A">
            <w:pPr>
              <w:jc w:val="center"/>
              <w:rPr>
                <w:b/>
                <w:color w:val="FF0000"/>
              </w:rPr>
            </w:pPr>
            <w:r w:rsidRPr="0062343A">
              <w:rPr>
                <w:b/>
                <w:color w:val="FF0000"/>
              </w:rPr>
              <w:t>Thinking wall</w:t>
            </w:r>
          </w:p>
        </w:tc>
        <w:tc>
          <w:tcPr>
            <w:tcW w:w="7567" w:type="dxa"/>
          </w:tcPr>
          <w:p w:rsidR="007A0015" w:rsidRPr="00127876" w:rsidRDefault="00127876">
            <w:pPr>
              <w:rPr>
                <w:sz w:val="20"/>
                <w:szCs w:val="20"/>
              </w:rPr>
            </w:pPr>
            <w:r w:rsidRPr="00127876">
              <w:rPr>
                <w:sz w:val="20"/>
                <w:szCs w:val="20"/>
              </w:rPr>
              <w:t>Put a higher level thinking question on the wall and encourage students to respond at different points in the lesson by writing on the wall or sticking a post it to it.</w:t>
            </w:r>
          </w:p>
        </w:tc>
      </w:tr>
      <w:tr w:rsidR="007A0015" w:rsidTr="00127876">
        <w:trPr>
          <w:trHeight w:val="258"/>
        </w:trPr>
        <w:tc>
          <w:tcPr>
            <w:tcW w:w="3058" w:type="dxa"/>
          </w:tcPr>
          <w:p w:rsidR="007A0015" w:rsidRPr="0062343A" w:rsidRDefault="007A0015" w:rsidP="0062343A">
            <w:pPr>
              <w:jc w:val="center"/>
              <w:rPr>
                <w:b/>
                <w:color w:val="FF0000"/>
              </w:rPr>
            </w:pPr>
            <w:r w:rsidRPr="0062343A">
              <w:rPr>
                <w:b/>
                <w:color w:val="FF0000"/>
              </w:rPr>
              <w:t>Socratic questioning</w:t>
            </w:r>
          </w:p>
        </w:tc>
        <w:tc>
          <w:tcPr>
            <w:tcW w:w="7567" w:type="dxa"/>
          </w:tcPr>
          <w:tbl>
            <w:tblPr>
              <w:tblW w:w="5000" w:type="pct"/>
              <w:tblCellSpacing w:w="0" w:type="dxa"/>
              <w:tblCellMar>
                <w:left w:w="0" w:type="dxa"/>
                <w:right w:w="0" w:type="dxa"/>
              </w:tblCellMar>
              <w:tblLook w:val="04A0" w:firstRow="1" w:lastRow="0" w:firstColumn="1" w:lastColumn="0" w:noHBand="0" w:noVBand="1"/>
            </w:tblPr>
            <w:tblGrid>
              <w:gridCol w:w="7351"/>
            </w:tblGrid>
            <w:tr w:rsidR="00127876" w:rsidRPr="00127876" w:rsidTr="00127876">
              <w:trPr>
                <w:tblCellSpacing w:w="0" w:type="dxa"/>
              </w:trPr>
              <w:tc>
                <w:tcPr>
                  <w:tcW w:w="0" w:type="auto"/>
                  <w:tcBorders>
                    <w:top w:val="nil"/>
                    <w:left w:val="nil"/>
                    <w:bottom w:val="nil"/>
                    <w:right w:val="nil"/>
                  </w:tcBorders>
                  <w:vAlign w:val="center"/>
                  <w:hideMark/>
                </w:tcPr>
                <w:p w:rsidR="004E09B4" w:rsidRDefault="00127876" w:rsidP="004E09B4">
                  <w:pPr>
                    <w:pStyle w:val="NoSpacing"/>
                    <w:rPr>
                      <w:color w:val="000000" w:themeColor="text1"/>
                      <w:sz w:val="20"/>
                      <w:szCs w:val="20"/>
                      <w:lang w:eastAsia="en-GB"/>
                    </w:rPr>
                  </w:pPr>
                  <w:bookmarkStart w:id="0" w:name="top"/>
                  <w:r w:rsidRPr="004E09B4">
                    <w:rPr>
                      <w:color w:val="000000" w:themeColor="text1"/>
                      <w:sz w:val="20"/>
                      <w:szCs w:val="20"/>
                      <w:lang w:eastAsia="en-GB"/>
                    </w:rPr>
                    <w:t>Socrates was one of the greatest educators who taught by asking questions and thus dra</w:t>
                  </w:r>
                  <w:r w:rsidR="004E09B4">
                    <w:rPr>
                      <w:color w:val="000000" w:themeColor="text1"/>
                      <w:sz w:val="20"/>
                      <w:szCs w:val="20"/>
                      <w:lang w:eastAsia="en-GB"/>
                    </w:rPr>
                    <w:t>wing out answers from his students</w:t>
                  </w:r>
                  <w:r w:rsidR="004E09B4" w:rsidRPr="004E09B4">
                    <w:rPr>
                      <w:color w:val="000000" w:themeColor="text1"/>
                      <w:sz w:val="20"/>
                      <w:szCs w:val="20"/>
                      <w:lang w:eastAsia="en-GB"/>
                    </w:rPr>
                    <w:t xml:space="preserve">. </w:t>
                  </w:r>
                  <w:r w:rsidR="004E09B4">
                    <w:rPr>
                      <w:color w:val="000000" w:themeColor="text1"/>
                      <w:sz w:val="20"/>
                      <w:szCs w:val="20"/>
                      <w:lang w:eastAsia="en-GB"/>
                    </w:rPr>
                    <w:t xml:space="preserve">The Socratic questioning technique </w:t>
                  </w:r>
                  <w:r w:rsidR="004E09B4" w:rsidRPr="004E09B4">
                    <w:rPr>
                      <w:color w:val="000000" w:themeColor="text1"/>
                      <w:sz w:val="20"/>
                      <w:szCs w:val="20"/>
                      <w:lang w:eastAsia="en-GB"/>
                    </w:rPr>
                    <w:t>seeks to get the other person to answer their own questions by making them think and drawing out the answer from them.</w:t>
                  </w:r>
                  <w:r w:rsidR="004E09B4">
                    <w:rPr>
                      <w:color w:val="000000" w:themeColor="text1"/>
                      <w:sz w:val="20"/>
                      <w:szCs w:val="20"/>
                      <w:lang w:eastAsia="en-GB"/>
                    </w:rPr>
                    <w:t xml:space="preserve"> It is a 6 step process:</w:t>
                  </w:r>
                </w:p>
                <w:p w:rsidR="004E09B4" w:rsidRDefault="004E09B4" w:rsidP="004E09B4">
                  <w:pPr>
                    <w:pStyle w:val="NoSpacing"/>
                    <w:numPr>
                      <w:ilvl w:val="0"/>
                      <w:numId w:val="1"/>
                    </w:numPr>
                    <w:rPr>
                      <w:color w:val="000000" w:themeColor="text1"/>
                      <w:sz w:val="20"/>
                      <w:szCs w:val="20"/>
                      <w:lang w:eastAsia="en-GB"/>
                    </w:rPr>
                  </w:pPr>
                  <w:r>
                    <w:rPr>
                      <w:color w:val="000000" w:themeColor="text1"/>
                      <w:sz w:val="20"/>
                      <w:szCs w:val="20"/>
                      <w:lang w:eastAsia="en-GB"/>
                    </w:rPr>
                    <w:t>Clarify</w:t>
                  </w:r>
                </w:p>
                <w:p w:rsidR="004E09B4" w:rsidRDefault="004E09B4" w:rsidP="004E09B4">
                  <w:pPr>
                    <w:pStyle w:val="NoSpacing"/>
                    <w:numPr>
                      <w:ilvl w:val="0"/>
                      <w:numId w:val="1"/>
                    </w:numPr>
                    <w:rPr>
                      <w:color w:val="000000" w:themeColor="text1"/>
                      <w:sz w:val="20"/>
                      <w:szCs w:val="20"/>
                      <w:lang w:eastAsia="en-GB"/>
                    </w:rPr>
                  </w:pPr>
                  <w:r>
                    <w:rPr>
                      <w:color w:val="000000" w:themeColor="text1"/>
                      <w:sz w:val="20"/>
                      <w:szCs w:val="20"/>
                      <w:lang w:eastAsia="en-GB"/>
                    </w:rPr>
                    <w:t>Challenge assumption</w:t>
                  </w:r>
                </w:p>
                <w:p w:rsidR="004E09B4" w:rsidRDefault="004E09B4" w:rsidP="004E09B4">
                  <w:pPr>
                    <w:pStyle w:val="NoSpacing"/>
                    <w:numPr>
                      <w:ilvl w:val="0"/>
                      <w:numId w:val="1"/>
                    </w:numPr>
                    <w:rPr>
                      <w:color w:val="000000" w:themeColor="text1"/>
                      <w:sz w:val="20"/>
                      <w:szCs w:val="20"/>
                      <w:lang w:eastAsia="en-GB"/>
                    </w:rPr>
                  </w:pPr>
                  <w:r>
                    <w:rPr>
                      <w:color w:val="000000" w:themeColor="text1"/>
                      <w:sz w:val="20"/>
                      <w:szCs w:val="20"/>
                      <w:lang w:eastAsia="en-GB"/>
                    </w:rPr>
                    <w:t>Evidence for argument</w:t>
                  </w:r>
                </w:p>
                <w:p w:rsidR="004E09B4" w:rsidRDefault="004E09B4" w:rsidP="004E09B4">
                  <w:pPr>
                    <w:pStyle w:val="NoSpacing"/>
                    <w:numPr>
                      <w:ilvl w:val="0"/>
                      <w:numId w:val="1"/>
                    </w:numPr>
                    <w:rPr>
                      <w:color w:val="000000" w:themeColor="text1"/>
                      <w:sz w:val="20"/>
                      <w:szCs w:val="20"/>
                      <w:lang w:eastAsia="en-GB"/>
                    </w:rPr>
                  </w:pPr>
                  <w:r>
                    <w:rPr>
                      <w:color w:val="000000" w:themeColor="text1"/>
                      <w:sz w:val="20"/>
                      <w:szCs w:val="20"/>
                      <w:lang w:eastAsia="en-GB"/>
                    </w:rPr>
                    <w:t>Viewpoints and perspectives</w:t>
                  </w:r>
                </w:p>
                <w:p w:rsidR="004E09B4" w:rsidRDefault="004E09B4" w:rsidP="004E09B4">
                  <w:pPr>
                    <w:pStyle w:val="NoSpacing"/>
                    <w:numPr>
                      <w:ilvl w:val="0"/>
                      <w:numId w:val="1"/>
                    </w:numPr>
                    <w:rPr>
                      <w:color w:val="000000" w:themeColor="text1"/>
                      <w:sz w:val="20"/>
                      <w:szCs w:val="20"/>
                      <w:lang w:eastAsia="en-GB"/>
                    </w:rPr>
                  </w:pPr>
                  <w:r>
                    <w:rPr>
                      <w:color w:val="000000" w:themeColor="text1"/>
                      <w:sz w:val="20"/>
                      <w:szCs w:val="20"/>
                      <w:lang w:eastAsia="en-GB"/>
                    </w:rPr>
                    <w:t>Implications and consequences</w:t>
                  </w:r>
                </w:p>
                <w:p w:rsidR="00127876" w:rsidRDefault="004E09B4" w:rsidP="004E09B4">
                  <w:pPr>
                    <w:pStyle w:val="NoSpacing"/>
                    <w:numPr>
                      <w:ilvl w:val="0"/>
                      <w:numId w:val="1"/>
                    </w:numPr>
                    <w:rPr>
                      <w:color w:val="000000" w:themeColor="text1"/>
                      <w:sz w:val="20"/>
                      <w:szCs w:val="20"/>
                      <w:lang w:eastAsia="en-GB"/>
                    </w:rPr>
                  </w:pPr>
                  <w:r>
                    <w:rPr>
                      <w:color w:val="000000" w:themeColor="text1"/>
                      <w:sz w:val="20"/>
                      <w:szCs w:val="20"/>
                      <w:lang w:eastAsia="en-GB"/>
                    </w:rPr>
                    <w:t>Question the question</w:t>
                  </w:r>
                </w:p>
                <w:p w:rsidR="004E09B4" w:rsidRPr="004E09B4" w:rsidRDefault="004E09B4" w:rsidP="004E09B4">
                  <w:pPr>
                    <w:pStyle w:val="NoSpacing"/>
                    <w:rPr>
                      <w:color w:val="000000" w:themeColor="text1"/>
                      <w:sz w:val="20"/>
                      <w:szCs w:val="20"/>
                      <w:lang w:eastAsia="en-GB"/>
                    </w:rPr>
                  </w:pPr>
                  <w:r w:rsidRPr="00632428">
                    <w:rPr>
                      <w:b/>
                      <w:color w:val="000000" w:themeColor="text1"/>
                      <w:sz w:val="20"/>
                      <w:szCs w:val="20"/>
                      <w:lang w:eastAsia="en-GB"/>
                    </w:rPr>
                    <w:t>For a copy of the Socratic questioning prompt cards go to:</w:t>
                  </w:r>
                  <w:r>
                    <w:rPr>
                      <w:color w:val="000000" w:themeColor="text1"/>
                      <w:sz w:val="20"/>
                      <w:szCs w:val="20"/>
                      <w:lang w:eastAsia="en-GB"/>
                    </w:rPr>
                    <w:t xml:space="preserve"> </w:t>
                  </w:r>
                  <w:proofErr w:type="spellStart"/>
                  <w:r>
                    <w:rPr>
                      <w:color w:val="000000" w:themeColor="text1"/>
                      <w:sz w:val="20"/>
                      <w:szCs w:val="20"/>
                      <w:lang w:eastAsia="en-GB"/>
                    </w:rPr>
                    <w:t>TDrive</w:t>
                  </w:r>
                  <w:proofErr w:type="spellEnd"/>
                  <w:r>
                    <w:rPr>
                      <w:color w:val="000000" w:themeColor="text1"/>
                      <w:sz w:val="20"/>
                      <w:szCs w:val="20"/>
                      <w:lang w:eastAsia="en-GB"/>
                    </w:rPr>
                    <w:t xml:space="preserve">&gt;Teaching and Learning&gt;Assessment and </w:t>
                  </w:r>
                  <w:r w:rsidR="00632428">
                    <w:rPr>
                      <w:color w:val="000000" w:themeColor="text1"/>
                      <w:sz w:val="20"/>
                      <w:szCs w:val="20"/>
                      <w:lang w:eastAsia="en-GB"/>
                    </w:rPr>
                    <w:t>questioning&gt;Socrates</w:t>
                  </w:r>
                </w:p>
              </w:tc>
            </w:tr>
            <w:bookmarkEnd w:id="0"/>
          </w:tbl>
          <w:p w:rsidR="007A0015" w:rsidRDefault="007A0015" w:rsidP="004E09B4"/>
        </w:tc>
        <w:bookmarkStart w:id="1" w:name="_GoBack"/>
        <w:bookmarkEnd w:id="1"/>
      </w:tr>
      <w:tr w:rsidR="007A0015" w:rsidTr="00127876">
        <w:trPr>
          <w:trHeight w:val="273"/>
        </w:trPr>
        <w:tc>
          <w:tcPr>
            <w:tcW w:w="3058" w:type="dxa"/>
          </w:tcPr>
          <w:p w:rsidR="007A0015" w:rsidRPr="0062343A" w:rsidRDefault="007A0015" w:rsidP="0062343A">
            <w:pPr>
              <w:jc w:val="center"/>
              <w:rPr>
                <w:b/>
                <w:color w:val="FF0000"/>
              </w:rPr>
            </w:pPr>
            <w:r w:rsidRPr="0062343A">
              <w:rPr>
                <w:b/>
                <w:color w:val="FF0000"/>
              </w:rPr>
              <w:t>ABC questioning</w:t>
            </w:r>
          </w:p>
        </w:tc>
        <w:tc>
          <w:tcPr>
            <w:tcW w:w="7567" w:type="dxa"/>
          </w:tcPr>
          <w:p w:rsidR="007A0015" w:rsidRPr="004B2BFB" w:rsidRDefault="004B2BFB" w:rsidP="004B2BFB">
            <w:pPr>
              <w:rPr>
                <w:sz w:val="20"/>
                <w:szCs w:val="20"/>
              </w:rPr>
            </w:pPr>
            <w:r w:rsidRPr="004B2BFB">
              <w:rPr>
                <w:rFonts w:cs="Arial"/>
                <w:sz w:val="20"/>
                <w:szCs w:val="20"/>
              </w:rPr>
              <w:t>This strategy adds a sophisticated degree of differentiation into the questioning process. By asking students to</w:t>
            </w:r>
            <w:r w:rsidRPr="004B2BFB">
              <w:rPr>
                <w:rStyle w:val="apple-converted-space"/>
                <w:rFonts w:cs="Arial"/>
                <w:sz w:val="20"/>
                <w:szCs w:val="20"/>
              </w:rPr>
              <w:t> </w:t>
            </w:r>
            <w:r w:rsidRPr="004B2BFB">
              <w:rPr>
                <w:rStyle w:val="Strong"/>
                <w:rFonts w:cs="Arial"/>
                <w:sz w:val="20"/>
                <w:szCs w:val="20"/>
              </w:rPr>
              <w:t>Agree with</w:t>
            </w:r>
            <w:r w:rsidRPr="004B2BFB">
              <w:rPr>
                <w:rFonts w:cs="Arial"/>
                <w:sz w:val="20"/>
                <w:szCs w:val="20"/>
              </w:rPr>
              <w:t>;</w:t>
            </w:r>
            <w:r w:rsidRPr="004B2BFB">
              <w:rPr>
                <w:rStyle w:val="apple-converted-space"/>
                <w:rFonts w:cs="Arial"/>
                <w:sz w:val="20"/>
                <w:szCs w:val="20"/>
              </w:rPr>
              <w:t> </w:t>
            </w:r>
            <w:r w:rsidRPr="004B2BFB">
              <w:rPr>
                <w:rStyle w:val="Strong"/>
                <w:rFonts w:cs="Arial"/>
                <w:sz w:val="20"/>
                <w:szCs w:val="20"/>
              </w:rPr>
              <w:t>Build upon</w:t>
            </w:r>
            <w:r w:rsidRPr="004B2BFB">
              <w:rPr>
                <w:rFonts w:cs="Arial"/>
                <w:sz w:val="20"/>
                <w:szCs w:val="20"/>
              </w:rPr>
              <w:t>; or</w:t>
            </w:r>
            <w:r w:rsidRPr="004B2BFB">
              <w:rPr>
                <w:rStyle w:val="apple-converted-space"/>
                <w:rFonts w:cs="Arial"/>
                <w:sz w:val="20"/>
                <w:szCs w:val="20"/>
              </w:rPr>
              <w:t> </w:t>
            </w:r>
            <w:r w:rsidRPr="004B2BFB">
              <w:rPr>
                <w:rStyle w:val="Strong"/>
                <w:rFonts w:cs="Arial"/>
                <w:sz w:val="20"/>
                <w:szCs w:val="20"/>
              </w:rPr>
              <w:t>Challenge</w:t>
            </w:r>
            <w:r w:rsidRPr="004B2BFB">
              <w:rPr>
                <w:rStyle w:val="apple-converted-space"/>
                <w:rFonts w:cs="Arial"/>
                <w:sz w:val="20"/>
                <w:szCs w:val="20"/>
              </w:rPr>
              <w:t> </w:t>
            </w:r>
            <w:r w:rsidRPr="004B2BFB">
              <w:rPr>
                <w:rFonts w:cs="Arial"/>
                <w:sz w:val="20"/>
                <w:szCs w:val="20"/>
              </w:rPr>
              <w:t xml:space="preserve">the answers of other students it allows students to develop their ideas in a more disciplined fashion, whilst giving a helpful scaffold to their ideas. </w:t>
            </w:r>
            <w:r w:rsidR="003B1307">
              <w:rPr>
                <w:rFonts w:cs="Arial"/>
                <w:sz w:val="20"/>
                <w:szCs w:val="20"/>
              </w:rPr>
              <w:t>There is a blog post about this on www.desc-learning.com</w:t>
            </w:r>
          </w:p>
        </w:tc>
      </w:tr>
      <w:tr w:rsidR="007A0015" w:rsidTr="00127876">
        <w:trPr>
          <w:trHeight w:val="531"/>
        </w:trPr>
        <w:tc>
          <w:tcPr>
            <w:tcW w:w="3058" w:type="dxa"/>
          </w:tcPr>
          <w:p w:rsidR="007A0015" w:rsidRPr="0062343A" w:rsidRDefault="007A0015" w:rsidP="0062343A">
            <w:pPr>
              <w:jc w:val="center"/>
              <w:rPr>
                <w:b/>
                <w:color w:val="FF0000"/>
              </w:rPr>
            </w:pPr>
            <w:r w:rsidRPr="0062343A">
              <w:rPr>
                <w:b/>
                <w:color w:val="FF0000"/>
              </w:rPr>
              <w:t>Hinge questions/ planned questions</w:t>
            </w:r>
          </w:p>
        </w:tc>
        <w:tc>
          <w:tcPr>
            <w:tcW w:w="7567" w:type="dxa"/>
          </w:tcPr>
          <w:p w:rsidR="007A0015" w:rsidRPr="004B2BFB" w:rsidRDefault="004B2BFB">
            <w:pPr>
              <w:rPr>
                <w:sz w:val="20"/>
                <w:szCs w:val="20"/>
              </w:rPr>
            </w:pPr>
            <w:r w:rsidRPr="004B2BFB">
              <w:rPr>
                <w:sz w:val="20"/>
                <w:szCs w:val="20"/>
                <w:shd w:val="clear" w:color="auto" w:fill="FFFFFF"/>
              </w:rPr>
              <w:t>Questions that check for understanding at a ‘hinge-point’ in a lesson, usually the point where you move from one key idea/activity/point on to another. Planning your questions before the lesson rather than randomly means you can think through and scaffold the level of challenge.</w:t>
            </w:r>
          </w:p>
        </w:tc>
      </w:tr>
      <w:tr w:rsidR="007A0015" w:rsidTr="00127876">
        <w:trPr>
          <w:trHeight w:val="288"/>
        </w:trPr>
        <w:tc>
          <w:tcPr>
            <w:tcW w:w="3058" w:type="dxa"/>
          </w:tcPr>
          <w:p w:rsidR="007A0015" w:rsidRPr="0062343A" w:rsidRDefault="007A0015" w:rsidP="0062343A">
            <w:pPr>
              <w:jc w:val="center"/>
              <w:rPr>
                <w:b/>
                <w:color w:val="FF0000"/>
              </w:rPr>
            </w:pPr>
            <w:r w:rsidRPr="0062343A">
              <w:rPr>
                <w:b/>
                <w:color w:val="FF0000"/>
              </w:rPr>
              <w:t>Think Tax</w:t>
            </w:r>
          </w:p>
        </w:tc>
        <w:tc>
          <w:tcPr>
            <w:tcW w:w="7567" w:type="dxa"/>
          </w:tcPr>
          <w:p w:rsidR="007A0015" w:rsidRDefault="004B2BFB" w:rsidP="004B2BFB">
            <w:pPr>
              <w:pStyle w:val="NoSpacing"/>
            </w:pPr>
            <w:r w:rsidRPr="004B2BFB">
              <w:rPr>
                <w:sz w:val="20"/>
                <w:szCs w:val="20"/>
              </w:rPr>
              <w:t>At the start of the less</w:t>
            </w:r>
            <w:r>
              <w:rPr>
                <w:sz w:val="20"/>
                <w:szCs w:val="20"/>
              </w:rPr>
              <w:t>on students are given 30 pretend Dirhams</w:t>
            </w:r>
            <w:r w:rsidRPr="004B2BFB">
              <w:rPr>
                <w:sz w:val="20"/>
                <w:szCs w:val="20"/>
              </w:rPr>
              <w:t>- the amount depends on The task is then set- </w:t>
            </w:r>
            <w:r w:rsidRPr="004B2BFB">
              <w:rPr>
                <w:bCs/>
                <w:sz w:val="20"/>
                <w:szCs w:val="20"/>
              </w:rPr>
              <w:t>students must try to earn as many dirhams as they can </w:t>
            </w:r>
            <w:r w:rsidRPr="004B2BFB">
              <w:rPr>
                <w:sz w:val="20"/>
                <w:szCs w:val="20"/>
              </w:rPr>
              <w:t>and obviously not use up any!</w:t>
            </w:r>
            <w:r>
              <w:rPr>
                <w:sz w:val="20"/>
                <w:szCs w:val="20"/>
              </w:rPr>
              <w:t xml:space="preserve"> </w:t>
            </w:r>
            <w:r w:rsidRPr="004B2BFB">
              <w:rPr>
                <w:sz w:val="20"/>
                <w:szCs w:val="20"/>
              </w:rPr>
              <w:t xml:space="preserve">They do this by answering </w:t>
            </w:r>
            <w:proofErr w:type="spellStart"/>
            <w:r w:rsidRPr="004B2BFB">
              <w:rPr>
                <w:sz w:val="20"/>
                <w:szCs w:val="20"/>
              </w:rPr>
              <w:t>each others</w:t>
            </w:r>
            <w:proofErr w:type="spellEnd"/>
            <w:r w:rsidRPr="004B2BFB">
              <w:rPr>
                <w:sz w:val="20"/>
                <w:szCs w:val="20"/>
              </w:rPr>
              <w:t xml:space="preserve"> questions or expanding on points made by others.</w:t>
            </w:r>
            <w:r>
              <w:rPr>
                <w:sz w:val="20"/>
                <w:szCs w:val="20"/>
              </w:rPr>
              <w:t xml:space="preserve"> </w:t>
            </w:r>
            <w:r w:rsidRPr="004B2BFB">
              <w:rPr>
                <w:sz w:val="20"/>
                <w:szCs w:val="20"/>
              </w:rPr>
              <w:t>The twist is</w:t>
            </w:r>
            <w:proofErr w:type="gramStart"/>
            <w:r w:rsidRPr="004B2BFB">
              <w:rPr>
                <w:sz w:val="20"/>
                <w:szCs w:val="20"/>
              </w:rPr>
              <w:t>,</w:t>
            </w:r>
            <w:proofErr w:type="gramEnd"/>
            <w:r w:rsidRPr="004B2BFB">
              <w:rPr>
                <w:sz w:val="20"/>
                <w:szCs w:val="20"/>
              </w:rPr>
              <w:t xml:space="preserve"> if a student answers another students questi</w:t>
            </w:r>
            <w:r>
              <w:rPr>
                <w:sz w:val="20"/>
                <w:szCs w:val="20"/>
              </w:rPr>
              <w:t>on- they take 5 AED from them</w:t>
            </w:r>
            <w:r w:rsidRPr="004B2BFB">
              <w:rPr>
                <w:sz w:val="20"/>
                <w:szCs w:val="20"/>
              </w:rPr>
              <w:t>!</w:t>
            </w:r>
            <w:r>
              <w:rPr>
                <w:sz w:val="20"/>
                <w:szCs w:val="20"/>
              </w:rPr>
              <w:t xml:space="preserve"> </w:t>
            </w:r>
            <w:r w:rsidRPr="004B2BFB">
              <w:rPr>
                <w:sz w:val="20"/>
                <w:szCs w:val="20"/>
              </w:rPr>
              <w:t>If</w:t>
            </w:r>
            <w:r>
              <w:rPr>
                <w:sz w:val="20"/>
                <w:szCs w:val="20"/>
              </w:rPr>
              <w:t xml:space="preserve"> they ask the teacher a question, this costs 25 AED</w:t>
            </w:r>
            <w:r w:rsidRPr="004B2BFB">
              <w:rPr>
                <w:sz w:val="20"/>
                <w:szCs w:val="20"/>
              </w:rPr>
              <w:br/>
              <w:t>The stude</w:t>
            </w:r>
            <w:r>
              <w:rPr>
                <w:sz w:val="20"/>
                <w:szCs w:val="20"/>
              </w:rPr>
              <w:t>nts may also use 5 AED</w:t>
            </w:r>
            <w:r w:rsidRPr="004B2BFB">
              <w:rPr>
                <w:sz w:val="20"/>
                <w:szCs w:val="20"/>
              </w:rPr>
              <w:t xml:space="preserve"> to buy an independent learning tool- such as the use of an iPad? Mini Laptop? Textbook? Classwork Folder? Revision Guide? </w:t>
            </w:r>
            <w:proofErr w:type="gramStart"/>
            <w:r w:rsidRPr="004B2BFB">
              <w:rPr>
                <w:sz w:val="20"/>
                <w:szCs w:val="20"/>
              </w:rPr>
              <w:t>etc</w:t>
            </w:r>
            <w:proofErr w:type="gramEnd"/>
            <w:r w:rsidRPr="004B2BFB">
              <w:rPr>
                <w:sz w:val="20"/>
                <w:szCs w:val="20"/>
              </w:rPr>
              <w:t>...</w:t>
            </w:r>
            <w:r w:rsidR="007448EB">
              <w:rPr>
                <w:sz w:val="20"/>
                <w:szCs w:val="20"/>
              </w:rPr>
              <w:t>There is a blog post about this on www.desc-learning.com</w:t>
            </w:r>
          </w:p>
        </w:tc>
      </w:tr>
    </w:tbl>
    <w:p w:rsidR="003E27C4" w:rsidRDefault="003E27C4"/>
    <w:sectPr w:rsidR="003E27C4" w:rsidSect="00127876">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CF1" w:rsidRDefault="00DB3CF1" w:rsidP="007A0015">
      <w:pPr>
        <w:spacing w:after="0" w:line="240" w:lineRule="auto"/>
      </w:pPr>
      <w:r>
        <w:separator/>
      </w:r>
    </w:p>
  </w:endnote>
  <w:endnote w:type="continuationSeparator" w:id="0">
    <w:p w:rsidR="00DB3CF1" w:rsidRDefault="00DB3CF1" w:rsidP="007A0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CF1" w:rsidRDefault="00DB3CF1" w:rsidP="007A0015">
      <w:pPr>
        <w:spacing w:after="0" w:line="240" w:lineRule="auto"/>
      </w:pPr>
      <w:r>
        <w:separator/>
      </w:r>
    </w:p>
  </w:footnote>
  <w:footnote w:type="continuationSeparator" w:id="0">
    <w:p w:rsidR="00DB3CF1" w:rsidRDefault="00DB3CF1" w:rsidP="007A00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0015" w:rsidRPr="004B2BFB" w:rsidRDefault="007A0015" w:rsidP="007A0015">
    <w:pPr>
      <w:pStyle w:val="Header"/>
      <w:jc w:val="center"/>
      <w:rPr>
        <w:b/>
        <w:color w:val="FF0000"/>
        <w:sz w:val="40"/>
        <w:szCs w:val="40"/>
      </w:rPr>
    </w:pPr>
    <w:r w:rsidRPr="004B2BFB">
      <w:rPr>
        <w:noProof/>
        <w:color w:val="FF0000"/>
        <w:sz w:val="40"/>
        <w:szCs w:val="40"/>
        <w:lang w:eastAsia="en-GB"/>
      </w:rPr>
      <mc:AlternateContent>
        <mc:Choice Requires="wps">
          <w:drawing>
            <wp:anchor distT="0" distB="0" distL="114300" distR="114300" simplePos="0" relativeHeight="251660288" behindDoc="0" locked="0" layoutInCell="1" allowOverlap="1" wp14:anchorId="66A97966" wp14:editId="0EA32263">
              <wp:simplePos x="0" y="0"/>
              <wp:positionH relativeFrom="column">
                <wp:posOffset>-76200</wp:posOffset>
              </wp:positionH>
              <wp:positionV relativeFrom="paragraph">
                <wp:posOffset>-278130</wp:posOffset>
              </wp:positionV>
              <wp:extent cx="1314450" cy="67627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13144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A0015" w:rsidRDefault="004B2BFB">
                          <w:r w:rsidRPr="004B2BFB">
                            <w:rPr>
                              <w:noProof/>
                              <w:lang w:eastAsia="en-GB"/>
                            </w:rPr>
                            <w:drawing>
                              <wp:inline distT="0" distB="0" distL="0" distR="0" wp14:anchorId="629405EA" wp14:editId="63B3BBB2">
                                <wp:extent cx="981075" cy="5524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5524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6pt;margin-top:-21.9pt;width:103.5pt;height:53.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y1iigIAAJEFAAAOAAAAZHJzL2Uyb0RvYy54bWysVEtv2zAMvg/YfxB0X51HH1sQp8hadBhQ&#10;tMXaoWdFlhJjkqhJSuzs14+Unce6XjrsYlPiR1IkP3J62VrDNirEGlzJhycDzpSTUNVuWfLvTzcf&#10;PnIWk3CVMOBUybcq8svZ+3fTxk/UCFZgKhUYOnFx0viSr1Lyk6KIcqWsiCfglUOlhmBFwmNYFlUQ&#10;DXq3phgNBudFA6HyAaSKEW+vOyWfZf9aK5nutY4qMVNyfFvK35C/C/oWs6mYLIPwq1r2zxD/8Aor&#10;aodB966uRRJsHeq/XNlaBoig04kEW4DWtVQ5B8xmOHiRzeNKeJVzweJEvy9T/H9u5d3mIbC6KvmY&#10;MycstuhJtYl9hpaNqTqNjxMEPXqEpRavscu7+4iXlHSrg6U/psNQj3Xe7mtLziQZjYenp2eokqg7&#10;vzgfXZyRm+Jg7UNMXxRYRkLJA/Yul1RsbmPqoDsIBYtg6uqmNiYfiC/qygS2Edhpk/Ib0fkfKONY&#10;g8HH+AwyckDmnWfj6EZlxvThKPMuwyylrVGEMe6b0lixnOgrsYWUyu3jZzShNIZ6i2GPP7zqLcZd&#10;HmiRI4NLe2NbOwg5+zxih5JVP3Yl0x0ee3OUN4mpXbSZKnsCLKDaIi8CdHMVvbypsXm3IqYHEXCQ&#10;sN+4HNI9frQBLD70EmcrCL9euyc88hu1nDU4mCWPP9ciKM7MV4fM/4Q8oknOh9OzixEewrFmcaxx&#10;a3sFyIghriEvs0j4ZHaiDmCfcYfMKSqqhJMYu+RpJ16lbl3gDpJqPs8gnF0v0q179JJcU5WJmk/t&#10;swi+529C5t/BboTF5AWNOyxZOpivE+g6c5zq3FW1rz/OfZ6SfkfRYjk+Z9Rhk85+AwAA//8DAFBL&#10;AwQUAAYACAAAACEACfYaBuIAAAAKAQAADwAAAGRycy9kb3ducmV2LnhtbEyPzU7DMBCE70i8g7VI&#10;XFDrNKEthDgVQvxI3NoUEDc3XpKIeB3FbhLenu0Jbrs7o9lvss1kWzFg7xtHChbzCARS6UxDlYJ9&#10;8TS7AeGDJqNbR6jgBz1s8vOzTKfGjbTFYRcqwSHkU62gDqFLpfRljVb7ueuQWPtyvdWB176Sptcj&#10;h9tWxlG0klY3xB9q3eFDjeX37mgVfF5VH69+en4bk2XSPb4MxfrdFEpdXkz3dyACTuHPDCd8Roec&#10;mQ7uSMaLVsFsEXOXwMN1wh1OjtslXw4KVvEaZJ7J/xXyXwAAAP//AwBQSwECLQAUAAYACAAAACEA&#10;toM4kv4AAADhAQAAEwAAAAAAAAAAAAAAAAAAAAAAW0NvbnRlbnRfVHlwZXNdLnhtbFBLAQItABQA&#10;BgAIAAAAIQA4/SH/1gAAAJQBAAALAAAAAAAAAAAAAAAAAC8BAABfcmVscy8ucmVsc1BLAQItABQA&#10;BgAIAAAAIQBcZy1iigIAAJEFAAAOAAAAAAAAAAAAAAAAAC4CAABkcnMvZTJvRG9jLnhtbFBLAQIt&#10;ABQABgAIAAAAIQAJ9hoG4gAAAAoBAAAPAAAAAAAAAAAAAAAAAOQEAABkcnMvZG93bnJldi54bWxQ&#10;SwUGAAAAAAQABADzAAAA8wUAAAAA&#10;" fillcolor="white [3201]" stroked="f" strokeweight=".5pt">
              <v:textbox>
                <w:txbxContent>
                  <w:p w:rsidR="007A0015" w:rsidRDefault="004B2BFB">
                    <w:r w:rsidRPr="004B2BFB">
                      <w:drawing>
                        <wp:inline distT="0" distB="0" distL="0" distR="0" wp14:anchorId="629405EA" wp14:editId="63B3BBB2">
                          <wp:extent cx="981075" cy="5524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81075" cy="552450"/>
                                  </a:xfrm>
                                  <a:prstGeom prst="rect">
                                    <a:avLst/>
                                  </a:prstGeom>
                                  <a:noFill/>
                                  <a:ln>
                                    <a:noFill/>
                                  </a:ln>
                                </pic:spPr>
                              </pic:pic>
                            </a:graphicData>
                          </a:graphic>
                        </wp:inline>
                      </w:drawing>
                    </w:r>
                  </w:p>
                </w:txbxContent>
              </v:textbox>
            </v:shape>
          </w:pict>
        </mc:Fallback>
      </mc:AlternateContent>
    </w:r>
    <w:r w:rsidRPr="004B2BFB">
      <w:rPr>
        <w:noProof/>
        <w:color w:val="FF0000"/>
        <w:sz w:val="40"/>
        <w:szCs w:val="40"/>
        <w:lang w:eastAsia="en-GB"/>
      </w:rPr>
      <mc:AlternateContent>
        <mc:Choice Requires="wps">
          <w:drawing>
            <wp:anchor distT="0" distB="0" distL="114300" distR="114300" simplePos="0" relativeHeight="251659264" behindDoc="0" locked="0" layoutInCell="1" allowOverlap="1" wp14:anchorId="236AEBC2" wp14:editId="57E3495E">
              <wp:simplePos x="0" y="0"/>
              <wp:positionH relativeFrom="column">
                <wp:posOffset>5372100</wp:posOffset>
              </wp:positionH>
              <wp:positionV relativeFrom="paragraph">
                <wp:posOffset>-325755</wp:posOffset>
              </wp:positionV>
              <wp:extent cx="80010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800100" cy="723900"/>
                      </a:xfrm>
                      <a:prstGeom prst="rect">
                        <a:avLst/>
                      </a:prstGeom>
                      <a:noFill/>
                      <a:ln w="6350">
                        <a:noFill/>
                      </a:ln>
                      <a:effectLst/>
                    </wps:spPr>
                    <wps:txbx>
                      <w:txbxContent>
                        <w:p w:rsidR="007A0015" w:rsidRPr="004B01C1" w:rsidRDefault="007A0015" w:rsidP="004B01C1">
                          <w:pPr>
                            <w:pStyle w:val="Header"/>
                          </w:pPr>
                          <w:r w:rsidRPr="007A0015">
                            <w:rPr>
                              <w:noProof/>
                              <w:lang w:eastAsia="en-GB"/>
                            </w:rPr>
                            <w:drawing>
                              <wp:inline distT="0" distB="0" distL="0" distR="0" wp14:anchorId="2CB3CE70" wp14:editId="09035696">
                                <wp:extent cx="657225" cy="6572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8594" cy="65859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left:0;text-align:left;margin-left:423pt;margin-top:-25.65pt;width:63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6XRLgIAAF4EAAAOAAAAZHJzL2Uyb0RvYy54bWysVF1v2jAUfZ+0/2D5fQQo/YoIFWvFNAm1&#10;lWDqs3EciJT4erYhYb9+x06gqNvTtBdzv3J87z3HTB/aumIHZV1JOuOjwZAzpSXlpd5m/Md68eWO&#10;M+eFzkVFWmX8qBx/mH3+NG1Mqsa0oypXlgFEu7QxGd95b9IkcXKnauEGZJRGsiBbCw/XbpPcigbo&#10;dZWMh8ObpCGbG0tSOYfoU5fks4hfFEr6l6JwyrMq4+jNx9PGcxPOZDYV6dYKsytl34b4hy5qUWpc&#10;eoZ6El6wvS3/gKpLaclR4QeS6oSKopQqzoBpRsMP06x2wqg4C5bjzHlN7v/ByufDq2VlDu4406IG&#10;RWvVevaVWjYK22mMS1G0MijzLcKhso87BMPQbWHr8ItxGPLY8/G82wAmEbwbYj5kJFK346t72EBJ&#10;3j821vlvimoWjIxbUBc3Kg5L57vSU0m4S9OirCrERVpp1mT85up6GD84ZwBe6VCgohB6mDBQ13iw&#10;fLtp+2k2lB8xpKVOJM7IRYlWlsL5V2GhCnQPpfsXHEVFuJJ6i7Md2V9/i4d6kIUsZw1UlnH3cy+s&#10;4qz6rkHj/WgyCbKMzuT6dgzHXmY2lxm9rx8JQgZV6C6aod5XJ7OwVL/hQczDrUgJLXF3xv3JfPSd&#10;9vGgpJrPYxGEaIRf6pWRATosLCx63b4Ja3o2PGh8ppMeRfqBlK62o2W+91SUkbGw4G6rYDo4EHHk&#10;vH9w4ZVc+rHq/W9h9hsAAP//AwBQSwMEFAAGAAgAAAAhAIPZjvniAAAACgEAAA8AAABkcnMvZG93&#10;bnJldi54bWxMj8FOwzAQRO9I/IO1SNxap4GmIWRTVZEqJASHll64OfE2iYjtELtt4OtZTnCcndHs&#10;m3w9mV6cafSdswiLeQSCbO10ZxuEw9t2loLwQVmtemcJ4Ys8rIvrq1xl2l3sjs770AgusT5TCG0I&#10;Qyalr1syys/dQJa9oxuNCizHRupRXbjc9DKOokQa1Vn+0KqBypbqj/3JIDyX21e1q2KTfvfl08tx&#10;M3we3peItzfT5hFEoCn8heEXn9GhYKbKnaz2okdI7xPeEhBmy8UdCE48rGK+VAhJvAJZ5PL/hOIH&#10;AAD//wMAUEsBAi0AFAAGAAgAAAAhALaDOJL+AAAA4QEAABMAAAAAAAAAAAAAAAAAAAAAAFtDb250&#10;ZW50X1R5cGVzXS54bWxQSwECLQAUAAYACAAAACEAOP0h/9YAAACUAQAACwAAAAAAAAAAAAAAAAAv&#10;AQAAX3JlbHMvLnJlbHNQSwECLQAUAAYACAAAACEAlJOl0S4CAABeBAAADgAAAAAAAAAAAAAAAAAu&#10;AgAAZHJzL2Uyb0RvYy54bWxQSwECLQAUAAYACAAAACEAg9mO+eIAAAAKAQAADwAAAAAAAAAAAAAA&#10;AACIBAAAZHJzL2Rvd25yZXYueG1sUEsFBgAAAAAEAAQA8wAAAJcFAAAAAA==&#10;" filled="f" stroked="f" strokeweight=".5pt">
              <v:fill o:detectmouseclick="t"/>
              <v:textbox>
                <w:txbxContent>
                  <w:p w:rsidR="007A0015" w:rsidRPr="004B01C1" w:rsidRDefault="007A0015" w:rsidP="004B01C1">
                    <w:pPr>
                      <w:pStyle w:val="Header"/>
                    </w:pPr>
                    <w:r w:rsidRPr="007A0015">
                      <w:drawing>
                        <wp:inline distT="0" distB="0" distL="0" distR="0" wp14:anchorId="2CB3CE70" wp14:editId="09035696">
                          <wp:extent cx="657225" cy="6572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58594" cy="658594"/>
                                  </a:xfrm>
                                  <a:prstGeom prst="rect">
                                    <a:avLst/>
                                  </a:prstGeom>
                                  <a:noFill/>
                                  <a:ln>
                                    <a:noFill/>
                                  </a:ln>
                                </pic:spPr>
                              </pic:pic>
                            </a:graphicData>
                          </a:graphic>
                        </wp:inline>
                      </w:drawing>
                    </w:r>
                  </w:p>
                </w:txbxContent>
              </v:textbox>
              <w10:wrap type="square"/>
            </v:shape>
          </w:pict>
        </mc:Fallback>
      </mc:AlternateContent>
    </w:r>
    <w:r w:rsidRPr="004B2BFB">
      <w:rPr>
        <w:b/>
        <w:color w:val="FF0000"/>
        <w:sz w:val="40"/>
        <w:szCs w:val="40"/>
      </w:rPr>
      <w:t>10 strategies for a thinking classroom</w:t>
    </w:r>
  </w:p>
  <w:p w:rsidR="007A0015" w:rsidRDefault="007A001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461AEC"/>
    <w:multiLevelType w:val="hybridMultilevel"/>
    <w:tmpl w:val="F9409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015"/>
    <w:rsid w:val="00127876"/>
    <w:rsid w:val="003B1307"/>
    <w:rsid w:val="003E27C4"/>
    <w:rsid w:val="004B2BFB"/>
    <w:rsid w:val="004E09B4"/>
    <w:rsid w:val="0062343A"/>
    <w:rsid w:val="00632428"/>
    <w:rsid w:val="007448EB"/>
    <w:rsid w:val="007A0015"/>
    <w:rsid w:val="00DB3C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00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A0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0015"/>
  </w:style>
  <w:style w:type="paragraph" w:styleId="Footer">
    <w:name w:val="footer"/>
    <w:basedOn w:val="Normal"/>
    <w:link w:val="FooterChar"/>
    <w:uiPriority w:val="99"/>
    <w:unhideWhenUsed/>
    <w:rsid w:val="007A0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0015"/>
  </w:style>
  <w:style w:type="paragraph" w:styleId="BalloonText">
    <w:name w:val="Balloon Text"/>
    <w:basedOn w:val="Normal"/>
    <w:link w:val="BalloonTextChar"/>
    <w:uiPriority w:val="99"/>
    <w:semiHidden/>
    <w:unhideWhenUsed/>
    <w:rsid w:val="007A00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015"/>
    <w:rPr>
      <w:rFonts w:ascii="Tahoma" w:hAnsi="Tahoma" w:cs="Tahoma"/>
      <w:sz w:val="16"/>
      <w:szCs w:val="16"/>
    </w:rPr>
  </w:style>
  <w:style w:type="character" w:customStyle="1" w:styleId="apple-converted-space">
    <w:name w:val="apple-converted-space"/>
    <w:basedOn w:val="DefaultParagraphFont"/>
    <w:rsid w:val="007A0015"/>
  </w:style>
  <w:style w:type="character" w:styleId="Strong">
    <w:name w:val="Strong"/>
    <w:basedOn w:val="DefaultParagraphFont"/>
    <w:uiPriority w:val="22"/>
    <w:qFormat/>
    <w:rsid w:val="0062343A"/>
    <w:rPr>
      <w:b/>
      <w:bCs/>
    </w:rPr>
  </w:style>
  <w:style w:type="paragraph" w:styleId="NoSpacing">
    <w:name w:val="No Spacing"/>
    <w:uiPriority w:val="1"/>
    <w:qFormat/>
    <w:rsid w:val="004E09B4"/>
    <w:pPr>
      <w:spacing w:after="0" w:line="240" w:lineRule="auto"/>
    </w:pPr>
  </w:style>
  <w:style w:type="character" w:styleId="Emphasis">
    <w:name w:val="Emphasis"/>
    <w:basedOn w:val="DefaultParagraphFont"/>
    <w:uiPriority w:val="20"/>
    <w:qFormat/>
    <w:rsid w:val="004B2BFB"/>
    <w:rPr>
      <w:i/>
      <w:iCs/>
    </w:rPr>
  </w:style>
  <w:style w:type="paragraph" w:styleId="NormalWeb">
    <w:name w:val="Normal (Web)"/>
    <w:basedOn w:val="Normal"/>
    <w:uiPriority w:val="99"/>
    <w:semiHidden/>
    <w:unhideWhenUsed/>
    <w:rsid w:val="004B2B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00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A0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0015"/>
  </w:style>
  <w:style w:type="paragraph" w:styleId="Footer">
    <w:name w:val="footer"/>
    <w:basedOn w:val="Normal"/>
    <w:link w:val="FooterChar"/>
    <w:uiPriority w:val="99"/>
    <w:unhideWhenUsed/>
    <w:rsid w:val="007A0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0015"/>
  </w:style>
  <w:style w:type="paragraph" w:styleId="BalloonText">
    <w:name w:val="Balloon Text"/>
    <w:basedOn w:val="Normal"/>
    <w:link w:val="BalloonTextChar"/>
    <w:uiPriority w:val="99"/>
    <w:semiHidden/>
    <w:unhideWhenUsed/>
    <w:rsid w:val="007A00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015"/>
    <w:rPr>
      <w:rFonts w:ascii="Tahoma" w:hAnsi="Tahoma" w:cs="Tahoma"/>
      <w:sz w:val="16"/>
      <w:szCs w:val="16"/>
    </w:rPr>
  </w:style>
  <w:style w:type="character" w:customStyle="1" w:styleId="apple-converted-space">
    <w:name w:val="apple-converted-space"/>
    <w:basedOn w:val="DefaultParagraphFont"/>
    <w:rsid w:val="007A0015"/>
  </w:style>
  <w:style w:type="character" w:styleId="Strong">
    <w:name w:val="Strong"/>
    <w:basedOn w:val="DefaultParagraphFont"/>
    <w:uiPriority w:val="22"/>
    <w:qFormat/>
    <w:rsid w:val="0062343A"/>
    <w:rPr>
      <w:b/>
      <w:bCs/>
    </w:rPr>
  </w:style>
  <w:style w:type="paragraph" w:styleId="NoSpacing">
    <w:name w:val="No Spacing"/>
    <w:uiPriority w:val="1"/>
    <w:qFormat/>
    <w:rsid w:val="004E09B4"/>
    <w:pPr>
      <w:spacing w:after="0" w:line="240" w:lineRule="auto"/>
    </w:pPr>
  </w:style>
  <w:style w:type="character" w:styleId="Emphasis">
    <w:name w:val="Emphasis"/>
    <w:basedOn w:val="DefaultParagraphFont"/>
    <w:uiPriority w:val="20"/>
    <w:qFormat/>
    <w:rsid w:val="004B2BFB"/>
    <w:rPr>
      <w:i/>
      <w:iCs/>
    </w:rPr>
  </w:style>
  <w:style w:type="paragraph" w:styleId="NormalWeb">
    <w:name w:val="Normal (Web)"/>
    <w:basedOn w:val="Normal"/>
    <w:uiPriority w:val="99"/>
    <w:semiHidden/>
    <w:unhideWhenUsed/>
    <w:rsid w:val="004B2B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655216">
      <w:bodyDiv w:val="1"/>
      <w:marLeft w:val="0"/>
      <w:marRight w:val="0"/>
      <w:marTop w:val="0"/>
      <w:marBottom w:val="0"/>
      <w:divBdr>
        <w:top w:val="none" w:sz="0" w:space="0" w:color="auto"/>
        <w:left w:val="none" w:sz="0" w:space="0" w:color="auto"/>
        <w:bottom w:val="none" w:sz="0" w:space="0" w:color="auto"/>
        <w:right w:val="none" w:sz="0" w:space="0" w:color="auto"/>
      </w:divBdr>
    </w:div>
    <w:div w:id="1677883746">
      <w:bodyDiv w:val="1"/>
      <w:marLeft w:val="0"/>
      <w:marRight w:val="0"/>
      <w:marTop w:val="0"/>
      <w:marBottom w:val="0"/>
      <w:divBdr>
        <w:top w:val="none" w:sz="0" w:space="0" w:color="auto"/>
        <w:left w:val="none" w:sz="0" w:space="0" w:color="auto"/>
        <w:bottom w:val="none" w:sz="0" w:space="0" w:color="auto"/>
        <w:right w:val="none" w:sz="0" w:space="0" w:color="auto"/>
      </w:divBdr>
    </w:div>
    <w:div w:id="1857034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2.wmf"/><Relationship Id="rId2" Type="http://schemas.openxmlformats.org/officeDocument/2006/relationships/image" Target="NULL"/><Relationship Id="rId1" Type="http://schemas.openxmlformats.org/officeDocument/2006/relationships/image" Target="media/image1.wmf"/><Relationship Id="rId4" Type="http://schemas.openxmlformats.org/officeDocument/2006/relationships/image" Target="NUL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3FE6D-8163-4600-9FD5-C05037F73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Edgar</dc:creator>
  <cp:lastModifiedBy>Rachael Edgar</cp:lastModifiedBy>
  <cp:revision>2</cp:revision>
  <dcterms:created xsi:type="dcterms:W3CDTF">2016-04-24T05:29:00Z</dcterms:created>
  <dcterms:modified xsi:type="dcterms:W3CDTF">2016-04-24T05:29:00Z</dcterms:modified>
</cp:coreProperties>
</file>